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uto"/>
        <w:ind w:firstLine="751" w:firstLineChars="200"/>
        <w:jc w:val="center"/>
        <w:rPr>
          <w:rFonts w:hint="eastAsia" w:ascii="仿宋" w:hAnsi="仿宋" w:eastAsia="仿宋" w:cs="宋体"/>
          <w:sz w:val="28"/>
          <w:szCs w:val="28"/>
          <w:lang w:eastAsia="zh-CN"/>
        </w:rPr>
      </w:pPr>
      <w:r>
        <w:rPr>
          <w:rFonts w:hint="eastAsia" w:ascii="仿宋" w:hAnsi="仿宋" w:eastAsia="仿宋"/>
          <w:b/>
          <w:bCs/>
          <w:w w:val="104"/>
          <w:sz w:val="36"/>
          <w:szCs w:val="28"/>
          <w:lang w:eastAsia="zh-CN"/>
        </w:rPr>
        <w:t>蓝源</w:t>
      </w:r>
      <w:bookmarkStart w:id="0" w:name="_GoBack"/>
      <w:bookmarkEnd w:id="0"/>
      <w:r>
        <w:rPr>
          <w:rFonts w:hint="eastAsia" w:ascii="仿宋" w:hAnsi="仿宋" w:eastAsia="仿宋"/>
          <w:b/>
          <w:bCs/>
          <w:w w:val="104"/>
          <w:sz w:val="36"/>
          <w:szCs w:val="28"/>
          <w:lang w:eastAsia="zh-CN"/>
        </w:rPr>
        <w:t>产业学院</w:t>
      </w:r>
    </w:p>
    <w:p>
      <w:pPr>
        <w:adjustRightInd/>
        <w:snapToGrid/>
        <w:spacing w:after="0" w:line="360" w:lineRule="auto"/>
        <w:ind w:firstLine="560" w:firstLineChars="200"/>
        <w:jc w:val="both"/>
        <w:rPr>
          <w:rFonts w:hint="eastAsia" w:ascii="仿宋" w:hAnsi="仿宋" w:eastAsia="仿宋" w:cs="宋体"/>
          <w:sz w:val="28"/>
          <w:szCs w:val="28"/>
        </w:rPr>
      </w:pPr>
    </w:p>
    <w:p>
      <w:pPr>
        <w:adjustRightInd/>
        <w:snapToGrid/>
        <w:spacing w:after="0" w:line="360" w:lineRule="auto"/>
        <w:ind w:firstLine="560" w:firstLineChars="200"/>
        <w:jc w:val="both"/>
        <w:rPr>
          <w:rFonts w:ascii="仿宋" w:hAnsi="仿宋" w:eastAsia="仿宋" w:cs="宋体"/>
          <w:sz w:val="28"/>
          <w:szCs w:val="28"/>
        </w:rPr>
      </w:pPr>
      <w:r>
        <w:rPr>
          <w:rFonts w:hint="eastAsia" w:ascii="仿宋" w:hAnsi="仿宋" w:eastAsia="仿宋" w:cs="宋体"/>
          <w:sz w:val="28"/>
          <w:szCs w:val="28"/>
        </w:rPr>
        <w:t>大力发展职业教育，为中国打造现代化产业体系培养大批应用型人才是中国教育改革的重要内容。但受体制机制等多种因素影响，职业教育人才培养供给侧与产业需求侧在结构、质量、水平上还不能完全适应，“两张皮”问题仍然存在。深化产教融合，促进教育链、人才链与产业链、创新链有机链接，是当前推进职业教育供给侧结构性改革的迫切要求。国家层面成立国家职业能力建设中心是顺应时代发展趋势的顶层设计。</w:t>
      </w:r>
    </w:p>
    <w:p>
      <w:pPr>
        <w:adjustRightInd/>
        <w:snapToGrid/>
        <w:spacing w:after="0" w:line="360" w:lineRule="auto"/>
        <w:ind w:firstLine="560" w:firstLineChars="200"/>
        <w:jc w:val="both"/>
        <w:rPr>
          <w:rFonts w:ascii="仿宋" w:hAnsi="仿宋" w:eastAsia="仿宋" w:cs="宋体"/>
          <w:sz w:val="28"/>
          <w:szCs w:val="28"/>
        </w:rPr>
      </w:pPr>
      <w:r>
        <w:rPr>
          <w:rFonts w:hint="eastAsia" w:ascii="仿宋" w:hAnsi="仿宋" w:eastAsia="仿宋" w:cs="宋体"/>
          <w:sz w:val="28"/>
          <w:szCs w:val="28"/>
        </w:rPr>
        <w:t>为配合国家职业能力建设中心做好职业教育供给侧改革这篇大文章，我们设想联合国内知名金融控股集团蓝源资本打造一个职业教育产业链共享平台―――众教联，以“金融资本+职业教育产业链+互联网”的产业互联网模式来推动中国职业教育整体抱团发展。</w:t>
      </w:r>
    </w:p>
    <w:p>
      <w:pPr>
        <w:adjustRightInd/>
        <w:snapToGrid/>
        <w:spacing w:after="240" w:afterLines="100" w:line="360" w:lineRule="auto"/>
        <w:ind w:firstLine="560" w:firstLineChars="200"/>
        <w:jc w:val="both"/>
        <w:rPr>
          <w:rFonts w:ascii="仿宋" w:hAnsi="仿宋" w:eastAsia="仿宋" w:cs="宋体"/>
          <w:sz w:val="28"/>
          <w:szCs w:val="28"/>
        </w:rPr>
      </w:pPr>
      <w:r>
        <w:rPr>
          <w:rFonts w:hint="eastAsia" w:ascii="仿宋" w:hAnsi="仿宋" w:eastAsia="仿宋" w:cs="宋体"/>
          <w:sz w:val="28"/>
          <w:szCs w:val="28"/>
        </w:rPr>
        <w:t>蓝源资本已经在餐饮饭店、陶瓷、家具、塑料、汽车零部件、服装等传统产业实践了其帮助传统产业链实现转型升级的创新模式和路径，并取得了巨大的成功。</w:t>
      </w:r>
      <w:r>
        <w:rPr>
          <w:rFonts w:hint="eastAsia" w:ascii="仿宋" w:hAnsi="仿宋" w:eastAsia="仿宋"/>
          <w:sz w:val="28"/>
        </w:rPr>
        <w:t>现将众教联组建思路说明如下：</w:t>
      </w:r>
    </w:p>
    <w:p>
      <w:pPr>
        <w:adjustRightInd/>
        <w:snapToGrid/>
        <w:spacing w:after="0" w:line="360" w:lineRule="auto"/>
        <w:ind w:firstLine="551" w:firstLineChars="196"/>
        <w:jc w:val="both"/>
        <w:rPr>
          <w:rFonts w:ascii="仿宋" w:hAnsi="仿宋" w:eastAsia="仿宋" w:cs="宋体"/>
          <w:b/>
          <w:sz w:val="28"/>
          <w:szCs w:val="28"/>
        </w:rPr>
      </w:pPr>
      <w:r>
        <w:rPr>
          <w:rFonts w:hint="eastAsia" w:ascii="仿宋" w:hAnsi="仿宋" w:eastAsia="仿宋" w:cs="宋体"/>
          <w:b/>
          <w:sz w:val="28"/>
          <w:szCs w:val="28"/>
        </w:rPr>
        <w:t>一、基本思路</w:t>
      </w:r>
    </w:p>
    <w:p>
      <w:pPr>
        <w:pStyle w:val="6"/>
        <w:spacing w:after="0" w:line="360" w:lineRule="auto"/>
        <w:ind w:firstLine="560" w:firstLineChars="200"/>
        <w:rPr>
          <w:rFonts w:ascii="仿宋" w:hAnsi="仿宋" w:eastAsia="仿宋"/>
          <w:sz w:val="28"/>
          <w:szCs w:val="28"/>
        </w:rPr>
      </w:pPr>
      <w:r>
        <w:rPr>
          <w:rFonts w:hint="eastAsia" w:ascii="仿宋" w:hAnsi="仿宋" w:eastAsia="仿宋"/>
          <w:sz w:val="28"/>
          <w:szCs w:val="28"/>
        </w:rPr>
        <w:t>第一步，联合3－10家具有创新理念和经营实力的高校与蓝源资本共同发起中国众教联职业能力建设集团（简称“众教联”），注册资金1个亿。运营半年以后，再引进10所高校作为顶层合伙人，最终平台达到50家左右合伙人。众教联平台定位是顶层的投资控股公司。平台配合国家职业能力建设中心，同步设立专业委员会，平行成立研究院。</w:t>
      </w:r>
    </w:p>
    <w:p>
      <w:pPr>
        <w:pStyle w:val="6"/>
        <w:spacing w:after="0" w:line="360" w:lineRule="auto"/>
        <w:ind w:firstLine="560" w:firstLineChars="200"/>
        <w:rPr>
          <w:rFonts w:ascii="仿宋" w:hAnsi="仿宋" w:eastAsia="仿宋"/>
          <w:sz w:val="28"/>
          <w:szCs w:val="28"/>
        </w:rPr>
      </w:pPr>
      <w:r>
        <w:rPr>
          <w:rFonts w:hint="eastAsia" w:ascii="仿宋" w:hAnsi="仿宋" w:eastAsia="仿宋"/>
          <w:sz w:val="28"/>
          <w:szCs w:val="28"/>
        </w:rPr>
        <w:t>第二步，众教联联合一家学科建设能力强的高校，打造若干个行业集团公司，作为众教联的行业子平台。子平台注册资金5000万，每个子平台规划联合一个行业龙头企业共同发起。</w:t>
      </w:r>
    </w:p>
    <w:p>
      <w:pPr>
        <w:pStyle w:val="6"/>
        <w:spacing w:after="0" w:line="360" w:lineRule="auto"/>
        <w:ind w:firstLine="560" w:firstLineChars="200"/>
        <w:rPr>
          <w:rFonts w:ascii="仿宋" w:hAnsi="仿宋" w:eastAsia="仿宋"/>
          <w:sz w:val="28"/>
          <w:szCs w:val="28"/>
        </w:rPr>
      </w:pPr>
      <w:r>
        <w:rPr>
          <w:rFonts w:hint="eastAsia" w:ascii="仿宋" w:hAnsi="仿宋" w:eastAsia="仿宋"/>
          <w:sz w:val="28"/>
          <w:szCs w:val="28"/>
        </w:rPr>
        <w:t>第三步，每个行业集团公司可以与各省（市）区合作打造一个地方性子公司，也通过联合龙头企业方式发起。</w:t>
      </w:r>
    </w:p>
    <w:p>
      <w:pPr>
        <w:pStyle w:val="6"/>
        <w:spacing w:after="0" w:line="360" w:lineRule="auto"/>
        <w:ind w:firstLine="560" w:firstLineChars="200"/>
        <w:rPr>
          <w:rFonts w:ascii="仿宋" w:hAnsi="仿宋" w:eastAsia="仿宋"/>
          <w:sz w:val="28"/>
          <w:szCs w:val="28"/>
        </w:rPr>
      </w:pPr>
      <w:r>
        <w:rPr>
          <w:rFonts w:hint="eastAsia" w:ascii="仿宋" w:hAnsi="仿宋" w:eastAsia="仿宋"/>
          <w:sz w:val="28"/>
          <w:szCs w:val="28"/>
        </w:rPr>
        <w:t>第四步，通过整合国家部委和各地资源，为每个行业子平台平行配套5－10亿的产业发展基金，实现资本驱动。</w:t>
      </w:r>
    </w:p>
    <w:p>
      <w:pPr>
        <w:pStyle w:val="6"/>
        <w:spacing w:after="240" w:afterLines="100" w:line="360" w:lineRule="auto"/>
        <w:ind w:firstLine="560" w:firstLineChars="200"/>
        <w:rPr>
          <w:rFonts w:ascii="仿宋" w:hAnsi="仿宋" w:eastAsia="仿宋"/>
          <w:sz w:val="28"/>
          <w:szCs w:val="28"/>
        </w:rPr>
      </w:pPr>
      <w:r>
        <w:rPr>
          <w:rFonts w:hint="eastAsia" w:ascii="仿宋" w:hAnsi="仿宋" w:eastAsia="仿宋"/>
          <w:sz w:val="28"/>
          <w:szCs w:val="28"/>
        </w:rPr>
        <w:t>这样通过金融资本顶层设计，</w:t>
      </w:r>
      <w:r>
        <w:rPr>
          <w:rFonts w:ascii="仿宋" w:hAnsi="仿宋" w:eastAsia="仿宋"/>
          <w:sz w:val="28"/>
          <w:szCs w:val="28"/>
        </w:rPr>
        <w:t>通过</w:t>
      </w:r>
      <w:r>
        <w:rPr>
          <w:rFonts w:hint="eastAsia" w:ascii="仿宋" w:hAnsi="仿宋" w:eastAsia="仿宋"/>
          <w:sz w:val="28"/>
          <w:szCs w:val="28"/>
        </w:rPr>
        <w:t>3</w:t>
      </w:r>
      <w:r>
        <w:rPr>
          <w:rFonts w:ascii="仿宋" w:hAnsi="仿宋" w:eastAsia="仿宋"/>
          <w:sz w:val="28"/>
          <w:szCs w:val="28"/>
        </w:rPr>
        <w:t>—5</w:t>
      </w:r>
      <w:r>
        <w:rPr>
          <w:rFonts w:hint="eastAsia" w:ascii="仿宋" w:hAnsi="仿宋" w:eastAsia="仿宋"/>
          <w:sz w:val="28"/>
          <w:szCs w:val="28"/>
        </w:rPr>
        <w:t>年</w:t>
      </w:r>
      <w:r>
        <w:rPr>
          <w:rFonts w:ascii="仿宋" w:hAnsi="仿宋" w:eastAsia="仿宋"/>
          <w:sz w:val="28"/>
          <w:szCs w:val="28"/>
        </w:rPr>
        <w:t>的努力，</w:t>
      </w:r>
      <w:r>
        <w:rPr>
          <w:rFonts w:hint="eastAsia" w:ascii="仿宋" w:hAnsi="仿宋" w:eastAsia="仿宋"/>
          <w:sz w:val="28"/>
          <w:szCs w:val="28"/>
        </w:rPr>
        <w:t>可以</w:t>
      </w:r>
      <w:r>
        <w:rPr>
          <w:rFonts w:ascii="仿宋" w:hAnsi="仿宋" w:eastAsia="仿宋"/>
          <w:sz w:val="28"/>
          <w:szCs w:val="28"/>
        </w:rPr>
        <w:t>整合</w:t>
      </w:r>
      <w:r>
        <w:rPr>
          <w:rFonts w:hint="eastAsia" w:ascii="仿宋" w:hAnsi="仿宋" w:eastAsia="仿宋"/>
          <w:sz w:val="28"/>
          <w:szCs w:val="28"/>
        </w:rPr>
        <w:t>组建3000家左右经营实体，形成一个全新的职业教育产业链的生态系统。</w:t>
      </w:r>
    </w:p>
    <w:p>
      <w:pPr>
        <w:pStyle w:val="6"/>
        <w:spacing w:after="0" w:line="360" w:lineRule="auto"/>
        <w:ind w:firstLine="562" w:firstLineChars="200"/>
        <w:rPr>
          <w:rFonts w:ascii="仿宋" w:hAnsi="仿宋" w:eastAsia="仿宋"/>
          <w:b/>
          <w:sz w:val="28"/>
          <w:szCs w:val="28"/>
        </w:rPr>
      </w:pPr>
      <w:r>
        <w:rPr>
          <w:rFonts w:hint="eastAsia" w:ascii="仿宋" w:hAnsi="仿宋" w:eastAsia="仿宋"/>
          <w:b/>
          <w:sz w:val="28"/>
          <w:szCs w:val="28"/>
        </w:rPr>
        <w:t>二、运营模式</w:t>
      </w:r>
    </w:p>
    <w:p>
      <w:pPr>
        <w:pStyle w:val="6"/>
        <w:spacing w:after="0" w:line="360" w:lineRule="auto"/>
        <w:ind w:firstLine="560" w:firstLineChars="200"/>
        <w:rPr>
          <w:rFonts w:ascii="仿宋" w:hAnsi="仿宋" w:eastAsia="仿宋"/>
          <w:sz w:val="28"/>
          <w:szCs w:val="28"/>
        </w:rPr>
      </w:pPr>
      <w:r>
        <w:rPr>
          <w:rFonts w:hint="eastAsia" w:ascii="仿宋" w:hAnsi="仿宋" w:eastAsia="仿宋"/>
          <w:sz w:val="28"/>
          <w:szCs w:val="28"/>
        </w:rPr>
        <w:t>众教联以子平台（行业集团公司）为基石，通过金融资本顶层设计，真正在行业、高校和企业之间形成命运共同体，实现产教高度融合，可以实现职业教育产业链的集中物资采购、集中融资、集中学科建设、集中实训基地建设、集中创业孵化体系打造、集中师资引进等，最终形成职业教育产业链共享平台。众教联还可以与蓝源资本打造的“众字辈”产业链整合平台联动，成为这些平台的人才体系支撑。</w:t>
      </w:r>
    </w:p>
    <w:p>
      <w:pPr>
        <w:pStyle w:val="6"/>
        <w:spacing w:after="0" w:line="360" w:lineRule="auto"/>
        <w:ind w:firstLine="560" w:firstLineChars="200"/>
        <w:rPr>
          <w:rFonts w:ascii="仿宋" w:hAnsi="仿宋" w:eastAsia="仿宋"/>
          <w:sz w:val="28"/>
          <w:szCs w:val="28"/>
        </w:rPr>
      </w:pPr>
      <w:r>
        <w:rPr>
          <w:rFonts w:hint="eastAsia" w:ascii="仿宋" w:hAnsi="仿宋" w:eastAsia="仿宋"/>
          <w:sz w:val="28"/>
          <w:szCs w:val="28"/>
        </w:rPr>
        <w:t>众教联平台还将同步打造一个职业教育产业链线上平台，建立</w:t>
      </w:r>
      <w:r>
        <w:rPr>
          <w:rFonts w:ascii="仿宋" w:hAnsi="仿宋" w:eastAsia="仿宋"/>
          <w:sz w:val="28"/>
          <w:szCs w:val="28"/>
        </w:rPr>
        <w:t>健全供应链体系、人才培养体系、投资体系和</w:t>
      </w:r>
      <w:r>
        <w:rPr>
          <w:rFonts w:hint="eastAsia" w:ascii="仿宋" w:hAnsi="仿宋" w:eastAsia="仿宋"/>
          <w:sz w:val="28"/>
          <w:szCs w:val="28"/>
        </w:rPr>
        <w:t>互联网</w:t>
      </w:r>
      <w:r>
        <w:rPr>
          <w:rFonts w:ascii="仿宋" w:hAnsi="仿宋" w:eastAsia="仿宋"/>
          <w:sz w:val="28"/>
          <w:szCs w:val="28"/>
        </w:rPr>
        <w:t>体系，</w:t>
      </w:r>
      <w:r>
        <w:rPr>
          <w:rFonts w:hint="eastAsia" w:ascii="仿宋" w:hAnsi="仿宋" w:eastAsia="仿宋"/>
          <w:sz w:val="28"/>
          <w:szCs w:val="28"/>
        </w:rPr>
        <w:t>打造一个金融+人才+技术+服务+产业链的B2B+O2O平台，</w:t>
      </w:r>
      <w:r>
        <w:rPr>
          <w:rFonts w:ascii="仿宋" w:hAnsi="仿宋" w:eastAsia="仿宋"/>
          <w:sz w:val="28"/>
          <w:szCs w:val="28"/>
        </w:rPr>
        <w:t>最终</w:t>
      </w:r>
      <w:r>
        <w:rPr>
          <w:rFonts w:hint="eastAsia" w:ascii="仿宋" w:hAnsi="仿宋" w:eastAsia="仿宋"/>
          <w:sz w:val="28"/>
          <w:szCs w:val="28"/>
        </w:rPr>
        <w:t>形成</w:t>
      </w:r>
      <w:r>
        <w:rPr>
          <w:rFonts w:ascii="仿宋" w:hAnsi="仿宋" w:eastAsia="仿宋"/>
          <w:sz w:val="28"/>
          <w:szCs w:val="28"/>
        </w:rPr>
        <w:t>产业互联网平台型总部经济业态，成为细分市场的“阿里巴巴”，并在资本市场</w:t>
      </w:r>
      <w:r>
        <w:rPr>
          <w:rFonts w:hint="eastAsia" w:ascii="仿宋" w:hAnsi="仿宋" w:eastAsia="仿宋"/>
          <w:sz w:val="28"/>
          <w:szCs w:val="28"/>
        </w:rPr>
        <w:t>实现</w:t>
      </w:r>
      <w:r>
        <w:rPr>
          <w:rFonts w:ascii="仿宋" w:hAnsi="仿宋" w:eastAsia="仿宋"/>
          <w:sz w:val="28"/>
          <w:szCs w:val="28"/>
        </w:rPr>
        <w:t>价值。</w:t>
      </w:r>
    </w:p>
    <w:p>
      <w:pPr>
        <w:pStyle w:val="6"/>
        <w:spacing w:after="0" w:line="360" w:lineRule="auto"/>
        <w:ind w:firstLine="560" w:firstLineChars="200"/>
        <w:rPr>
          <w:rFonts w:ascii="仿宋" w:hAnsi="仿宋" w:eastAsia="仿宋"/>
          <w:sz w:val="28"/>
          <w:szCs w:val="28"/>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958254"/>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TgzODJiZjg0ODEyNzcwMTI0OTM4ZTYwZDIwMzcxM2QifQ=="/>
  </w:docVars>
  <w:rsids>
    <w:rsidRoot w:val="00D31D50"/>
    <w:rsid w:val="000100D3"/>
    <w:rsid w:val="0001657C"/>
    <w:rsid w:val="00016FA1"/>
    <w:rsid w:val="00070429"/>
    <w:rsid w:val="00076D0B"/>
    <w:rsid w:val="000C0BA6"/>
    <w:rsid w:val="000D2B36"/>
    <w:rsid w:val="000E3E4B"/>
    <w:rsid w:val="0010673B"/>
    <w:rsid w:val="00107437"/>
    <w:rsid w:val="00134E92"/>
    <w:rsid w:val="001B6A9C"/>
    <w:rsid w:val="001E0206"/>
    <w:rsid w:val="001F12F5"/>
    <w:rsid w:val="0020269D"/>
    <w:rsid w:val="00214CF4"/>
    <w:rsid w:val="00262907"/>
    <w:rsid w:val="00266702"/>
    <w:rsid w:val="00311E80"/>
    <w:rsid w:val="00323B43"/>
    <w:rsid w:val="003C5E54"/>
    <w:rsid w:val="003D32C1"/>
    <w:rsid w:val="003D37D8"/>
    <w:rsid w:val="003F0A0C"/>
    <w:rsid w:val="004211AF"/>
    <w:rsid w:val="00426133"/>
    <w:rsid w:val="004358AB"/>
    <w:rsid w:val="004405C2"/>
    <w:rsid w:val="004659E4"/>
    <w:rsid w:val="004B5CE8"/>
    <w:rsid w:val="005020D0"/>
    <w:rsid w:val="0050219C"/>
    <w:rsid w:val="00555040"/>
    <w:rsid w:val="005C62A1"/>
    <w:rsid w:val="00640A4E"/>
    <w:rsid w:val="00665612"/>
    <w:rsid w:val="00666CA3"/>
    <w:rsid w:val="00672499"/>
    <w:rsid w:val="00684CB0"/>
    <w:rsid w:val="006969C6"/>
    <w:rsid w:val="00697A19"/>
    <w:rsid w:val="006A43B6"/>
    <w:rsid w:val="006B2BB9"/>
    <w:rsid w:val="006C599E"/>
    <w:rsid w:val="0070485D"/>
    <w:rsid w:val="007530C8"/>
    <w:rsid w:val="007E6104"/>
    <w:rsid w:val="00814066"/>
    <w:rsid w:val="008B7726"/>
    <w:rsid w:val="008C17C6"/>
    <w:rsid w:val="008C75CC"/>
    <w:rsid w:val="008D7A7C"/>
    <w:rsid w:val="008F300F"/>
    <w:rsid w:val="008F7B44"/>
    <w:rsid w:val="00927D3C"/>
    <w:rsid w:val="009875D8"/>
    <w:rsid w:val="0099553F"/>
    <w:rsid w:val="009A1075"/>
    <w:rsid w:val="009B1E90"/>
    <w:rsid w:val="009C73A7"/>
    <w:rsid w:val="009F1E6A"/>
    <w:rsid w:val="00A019F6"/>
    <w:rsid w:val="00A606A5"/>
    <w:rsid w:val="00A704F6"/>
    <w:rsid w:val="00AB4C31"/>
    <w:rsid w:val="00AB7931"/>
    <w:rsid w:val="00AE6F6C"/>
    <w:rsid w:val="00B034D0"/>
    <w:rsid w:val="00B127C8"/>
    <w:rsid w:val="00B14E90"/>
    <w:rsid w:val="00B27855"/>
    <w:rsid w:val="00B657C0"/>
    <w:rsid w:val="00B80AB3"/>
    <w:rsid w:val="00B82710"/>
    <w:rsid w:val="00B92F0C"/>
    <w:rsid w:val="00B95E0D"/>
    <w:rsid w:val="00B972B2"/>
    <w:rsid w:val="00BC2163"/>
    <w:rsid w:val="00BC2B10"/>
    <w:rsid w:val="00C020CC"/>
    <w:rsid w:val="00C26281"/>
    <w:rsid w:val="00C41CB1"/>
    <w:rsid w:val="00C470F5"/>
    <w:rsid w:val="00C72AB1"/>
    <w:rsid w:val="00C87BF6"/>
    <w:rsid w:val="00C94780"/>
    <w:rsid w:val="00CB63A2"/>
    <w:rsid w:val="00D237B2"/>
    <w:rsid w:val="00D2490A"/>
    <w:rsid w:val="00D31D50"/>
    <w:rsid w:val="00D8150F"/>
    <w:rsid w:val="00DD750D"/>
    <w:rsid w:val="00DF60F8"/>
    <w:rsid w:val="00E01A5D"/>
    <w:rsid w:val="00E05A90"/>
    <w:rsid w:val="00E26944"/>
    <w:rsid w:val="00EA7595"/>
    <w:rsid w:val="00EC4435"/>
    <w:rsid w:val="00F20E63"/>
    <w:rsid w:val="00F40FF4"/>
    <w:rsid w:val="00F459FC"/>
    <w:rsid w:val="00F67B79"/>
    <w:rsid w:val="00FC5CE9"/>
    <w:rsid w:val="00FD1A05"/>
    <w:rsid w:val="00FD5385"/>
    <w:rsid w:val="00FD609E"/>
    <w:rsid w:val="00FF3F72"/>
    <w:rsid w:val="3CB30640"/>
    <w:rsid w:val="4C2C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pPr>
      <w:spacing w:after="0"/>
    </w:pPr>
    <w:rPr>
      <w:sz w:val="18"/>
      <w:szCs w:val="18"/>
    </w:rPr>
  </w:style>
  <w:style w:type="paragraph" w:styleId="4">
    <w:name w:val="footer"/>
    <w:basedOn w:val="1"/>
    <w:link w:val="10"/>
    <w:unhideWhenUsed/>
    <w:uiPriority w:val="99"/>
    <w:pPr>
      <w:tabs>
        <w:tab w:val="center" w:pos="4153"/>
        <w:tab w:val="right" w:pos="8306"/>
      </w:tabs>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uiPriority w:val="0"/>
    <w:pPr>
      <w:widowControl w:val="0"/>
      <w:autoSpaceDE w:val="0"/>
      <w:autoSpaceDN w:val="0"/>
      <w:snapToGrid/>
      <w:spacing w:after="209"/>
      <w:jc w:val="both"/>
    </w:pPr>
    <w:rPr>
      <w:rFonts w:ascii="宋体" w:hAnsi="宋体" w:eastAsia="宋体" w:cs="Times New Roman"/>
      <w:sz w:val="24"/>
      <w:szCs w:val="20"/>
    </w:rPr>
  </w:style>
  <w:style w:type="character" w:customStyle="1" w:styleId="9">
    <w:name w:val="页眉 Char"/>
    <w:basedOn w:val="8"/>
    <w:link w:val="5"/>
    <w:uiPriority w:val="99"/>
    <w:rPr>
      <w:rFonts w:ascii="Tahoma" w:hAnsi="Tahoma"/>
      <w:sz w:val="18"/>
      <w:szCs w:val="18"/>
    </w:rPr>
  </w:style>
  <w:style w:type="character" w:customStyle="1" w:styleId="10">
    <w:name w:val="页脚 Char"/>
    <w:basedOn w:val="8"/>
    <w:link w:val="4"/>
    <w:uiPriority w:val="99"/>
    <w:rPr>
      <w:rFonts w:ascii="Tahoma" w:hAnsi="Tahoma"/>
      <w:sz w:val="18"/>
      <w:szCs w:val="18"/>
    </w:rPr>
  </w:style>
  <w:style w:type="paragraph" w:styleId="11">
    <w:name w:val="List Paragraph"/>
    <w:basedOn w:val="1"/>
    <w:qFormat/>
    <w:uiPriority w:val="34"/>
    <w:pPr>
      <w:ind w:firstLine="420" w:firstLineChars="200"/>
    </w:pPr>
  </w:style>
  <w:style w:type="character" w:customStyle="1" w:styleId="12">
    <w:name w:val="标题 1 Char"/>
    <w:basedOn w:val="8"/>
    <w:link w:val="2"/>
    <w:qFormat/>
    <w:uiPriority w:val="0"/>
    <w:rPr>
      <w:rFonts w:ascii="Times New Roman" w:hAnsi="Times New Roman" w:eastAsia="宋体" w:cs="Times New Roman"/>
      <w:b/>
      <w:bCs/>
      <w:kern w:val="44"/>
      <w:sz w:val="44"/>
      <w:szCs w:val="44"/>
    </w:rPr>
  </w:style>
  <w:style w:type="character" w:customStyle="1" w:styleId="13">
    <w:name w:val="批注框文本 Char"/>
    <w:basedOn w:val="8"/>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7831-8A04-4CD6-A7C5-A91EF4F39DD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1112</Words>
  <Characters>1128</Characters>
  <Lines>19</Lines>
  <Paragraphs>5</Paragraphs>
  <TotalTime>124</TotalTime>
  <ScaleCrop>false</ScaleCrop>
  <LinksUpToDate>false</LinksUpToDate>
  <CharactersWithSpaces>1128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2016-05-24T02:53:00Z</dcterms:created>
  <dc:creator>Administrator</dc:creator>
  <cp:lastModifiedBy>为中华之崛起而学习</cp:lastModifiedBy>
  <dcterms:modified xsi:type="dcterms:W3CDTF">2022-07-13T08:58:01Z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14C93E5FF2D74E57B13392AB8AABA9E5</vt:lpwstr>
  </property>
</Properties>
</file>